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1"/>
        <w:ind w:left="0" w:righ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1"/>
        <w:ind w:left="0" w:right="0"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82"/>
        <w:ind w:left="0" w:right="0" w:firstLine="567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0" w:righ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кционерное общество 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Дальневосточная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генерирующая компания» (АО 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ДГК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»)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(далее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Покупатель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лице _____________________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</w:r>
      <w:r>
        <w:rPr>
          <w:rFonts w:ascii="Times New Roman" w:hAnsi="Times New Roman" w:cs="Times New Roman"/>
          <w:spacing w:val="10"/>
          <w:sz w:val="24"/>
          <w:szCs w:val="24"/>
        </w:rPr>
      </w:r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rFonts w:ascii="Times New Roman" w:hAnsi="Times New Roman" w:eastAsia="Times New Roman" w:cs="Times New Roman"/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rFonts w:ascii="Times New Roman" w:hAnsi="Times New Roman" w:eastAsia="Times New Roman" w:cs="Times New Roman"/>
          <w:b/>
          <w:spacing w:val="10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лице 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____________, действующего на основании 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__________________, с другой стороны,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01"/>
        <w:ind w:left="0" w:right="0"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совместно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дальнейшем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br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конкурентной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закупочной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процедуры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по лоту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№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заключили настоящий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оговор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(далее – «Договор») о нижеследующем: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01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center"/>
        <w:shd w:val="clear" w:color="auto" w:fill="ffffff"/>
        <w:rPr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567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«Договор»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– настоящий договор, подписанный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«Накладная ТОРГ-12»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документ, оформляе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мый по унифицированной форме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br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Товара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«Отказ от Договора»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ind w:left="0" w:right="0" w:firstLine="720"/>
        <w:jc w:val="both"/>
        <w:keepNext w:val="0"/>
        <w:spacing w:before="0" w:after="0" w:afterAutospacing="0"/>
        <w:tabs>
          <w:tab w:val="left" w:pos="0" w:leader="none"/>
        </w:tabs>
        <w:rPr>
          <w:rFonts w:ascii="Times New Roman" w:hAnsi="Times New Roman" w:cs="Times New Roman"/>
          <w:b w:val="0"/>
          <w:color w:val="auto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en-US"/>
        </w:rPr>
        <w:t xml:space="preserve">«Партия Товара»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 w:eastAsia="Times New Roman" w:cs="Times New Roman"/>
          <w:b w:val="0"/>
          <w:color w:val="auto"/>
          <w:sz w:val="24"/>
          <w:szCs w:val="24"/>
          <w:lang w:val="ru-RU" w:eastAsia="en-US"/>
        </w:rPr>
        <w:t xml:space="preserve">в соответствии со </w:t>
      </w:r>
      <w:r>
        <w:rPr>
          <w:rFonts w:ascii="Times New Roman" w:hAnsi="Times New Roman" w:eastAsia="Times New Roman" w:cs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 w:eastAsia="Times New Roman" w:cs="Times New Roman"/>
          <w:b w:val="0"/>
          <w:color w:val="auto"/>
          <w:sz w:val="24"/>
          <w:szCs w:val="24"/>
          <w:lang w:eastAsia="en-US"/>
        </w:rPr>
        <w:tab/>
        <w:tab/>
      </w:r>
      <w:r>
        <w:rPr>
          <w:rFonts w:ascii="Times New Roman" w:hAnsi="Times New Roman" w:eastAsia="Times New Roman" w:cs="Times New Roman"/>
          <w:b w:val="0"/>
          <w:color w:val="ff0000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«Применимое право»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– обязательные для Сторон в процес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нормативные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и противопожарной безопасности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 относящиеся к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овару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ab/>
        <w:tab/>
        <w:tab/>
        <w:tab/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Субъект МСП»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jc w:val="both"/>
      </w:pPr>
      <w:r>
        <w:rPr>
          <w:b/>
          <w:bCs/>
        </w:rPr>
        <w:t xml:space="preserve">            «Универсальный передаточный документ (УПД)» </w:t>
      </w:r>
      <w:r>
        <w:t xml:space="preserve">– форма документа, </w:t>
      </w:r>
      <w:r/>
      <w:r>
        <w:t xml:space="preserve">рекомендованная для применения письмом ФНС России от 21.10.2013</w:t>
      </w:r>
      <w:r/>
      <w:r/>
    </w:p>
    <w:p>
      <w:r>
        <w:t xml:space="preserve">№ ММВ-20-3/96@ (объединяет реквизиты счета-фактуры и первичного документа о</w:t>
      </w:r>
      <w:r/>
    </w:p>
    <w:p>
      <w:r>
        <w:t xml:space="preserve">передаче товаров, работ, услуг).</w:t>
      </w:r>
      <w:r/>
      <w:r/>
      <w:r/>
    </w:p>
    <w:p>
      <w:pPr>
        <w:ind w:left="0" w:right="0" w:firstLine="720"/>
        <w:jc w:val="both"/>
        <w:spacing w:after="0" w:afterAutospacing="0"/>
        <w:tabs>
          <w:tab w:val="left" w:pos="0" w:leader="none"/>
        </w:tabs>
        <w:rPr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«Цена Договора»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2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Договора сумма,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которую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Покупатель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обязуется уплатить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Поставщику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в порядке и на условиях, установленных </w:t>
      </w:r>
      <w:r>
        <w:rPr>
          <w:sz w:val="24"/>
          <w:szCs w:val="24"/>
          <w:lang w:eastAsia="en-US"/>
        </w:rPr>
        <w:t xml:space="preserve">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20"/>
        <w:jc w:val="both"/>
        <w:spacing w:after="0" w:afterAutospacing="0"/>
        <w:tabs>
          <w:tab w:val="left" w:pos="0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83"/>
        <w:numPr>
          <w:ilvl w:val="0"/>
          <w:numId w:val="9"/>
        </w:numPr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1"/>
          <w:numId w:val="11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Поставщик обязуется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порядке и сроки, установленные Договором,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передать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собственность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Покупателю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турбинное масло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en-US"/>
        </w:rPr>
        <w:t xml:space="preserve">(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алее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– Товар)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Покупатель обязуется принять Товар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 уплатить Цену Договора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1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Поставка Товара осуществляется партиями,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сроки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пунктом 3.1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1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и количество Товара,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Грузополучатель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указыва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Спецификации.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883"/>
        <w:numPr>
          <w:ilvl w:val="0"/>
          <w:numId w:val="9"/>
        </w:numPr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договора и порядок расчетов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Цена Договора является предельной и составляет _______ (__________) рублей ___ копеек, в том числе НДС (___%)_____________рублей.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2.2. Цена за единицу Товара определяется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Спецификации (Приложение №1 к Договору)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условиями проведенной конкурентной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процедуры и является фиксированной в течение всего срока действия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2.3. Цена Договора включает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себя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прибыль Поставщика, а также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все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расходы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 затраты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Поставщика на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роизводство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и/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или приобретение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Товара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т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ранспортировку Товара до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еста поставки, погрузку, разгру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зку, стоимость тары и упаковки;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одлежащие уплате налоги, сборы 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пошлины (в т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числе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по таможенному оформлению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Товара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, если применимо)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з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аработную плату, накладные и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командировочные расходы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персонала Поставщика;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в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2.4.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Порядок оплаты Товара: в размере 100% стоимости поставленного Товара производится по факту поставки  в течение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7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сем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рабочих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дней с даты подписания Покупателем (грузополучателем)товарной накладной/или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УПД при наличии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акта входного контроля.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2.5. Индексация цены Договора не предусм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Расчеты по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осуществляются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валюте Российской Федерации.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Оплата производится путем перечисления денежных средств на расчетный счет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указанный в Договоре.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по оплате Товара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считаются выполненными с даты списания денежных средств с расчетного счета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Покупателя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2.7.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фактуры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или УПД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фактуры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/ или УПД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в течение 3 (трех) 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бочих дней с даты получения соответствующего письменного требования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  <w:tab w:val="left" w:pos="716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u w:val="none"/>
        </w:rPr>
        <w:t xml:space="preserve">2.8.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Покупатель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вправе произвести сальдо взаимных обязательств Сторон путем уменьшения сумм причитающихся Поставщику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ых на исполнение Договора, на суммы задолженности Поставщика перед Покупателем, в том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 по Договору, стоимость работ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906"/>
        <w:ind w:left="0" w:right="0" w:firstLine="567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2.9. </w:t>
      </w:r>
      <w:r>
        <w:rPr>
          <w:sz w:val="24"/>
          <w:szCs w:val="24"/>
          <w:highlight w:val="white"/>
        </w:rPr>
        <w:t xml:space="preserve">Обеспечительный платеж исполнения обязательств по Договору,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размере 5% (НДС не облагается) от цены Договора, в соответствии с опубликованным протоколом по выбору победителя внесенный Поставщиком на расчетный счет Покупателя 407 028 102 700 000 088 18, ДАЛЬНЕВОСТОЧНЫЙ БАНК ПАО СБЕРБАНК, БИК 040813608, Кор. счет 301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018 106 000 000 006 08, в течении 10 (десяти) календарных дней с даты официальной публикации протокола по выбору победителя в Единой информационной системе в сфере закупок (www.zakupki.gov.ru), подлежит возврату Поставщику в течение 70 (семьдесят) календар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ых дней с даты полного исполнения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</w:t>
      </w:r>
      <w:r>
        <w:rPr>
          <w:sz w:val="24"/>
          <w:szCs w:val="24"/>
          <w:highlight w:val="white"/>
        </w:rPr>
        <w:t xml:space="preserve">м обязательств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неисполнения Поставщиком обязательств по поставке Товара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sz w:val="24"/>
          <w:szCs w:val="24"/>
          <w:highlight w:val="whit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sz w:val="24"/>
          <w:szCs w:val="24"/>
          <w:highlight w:val="white"/>
        </w:rPr>
        <w:t xml:space="preserve">латить на р/счет Покупателя разницу, в течение 10-ти дней с момента получения претензии с требованием об оплате.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срок, установленный Документацией о з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купке, отвечающую требованиям, указанным в приложениях №2, №2.1, №3.2 к настоящему Договору, на сумму 5% (НДС не облагается) от цены Договора, в соответствии с опубликованным протоколом по выбору победителя), по акту приема-передачи по форме, согласно прил</w:t>
      </w:r>
      <w:r>
        <w:rPr>
          <w:sz w:val="24"/>
          <w:szCs w:val="24"/>
          <w:highlight w:val="white"/>
        </w:rPr>
        <w:t xml:space="preserve">ожению № 4 к настоящему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0" w:leader="none"/>
          <w:tab w:val="left" w:pos="567" w:leader="none"/>
          <w:tab w:val="left" w:pos="716" w:leader="none"/>
          <w:tab w:val="clear" w:pos="858" w:leader="none"/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 </w:t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numPr>
          <w:ilvl w:val="0"/>
          <w:numId w:val="9"/>
        </w:numPr>
        <w:ind w:left="0" w:righ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Порядок и условия поставки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Товара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83"/>
        <w:ind w:left="0" w:right="0" w:firstLine="567"/>
        <w:jc w:val="both"/>
        <w:tabs>
          <w:tab w:val="left" w:pos="99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</w:t>
      </w:r>
      <w:r>
        <w:rPr>
          <w:rFonts w:ascii="Times New Roman" w:hAnsi="Times New Roman" w:cs="Times New Roman"/>
          <w:sz w:val="24"/>
          <w:szCs w:val="24"/>
        </w:rPr>
        <w:tab/>
        <w:t xml:space="preserve"> Поставка Товара производится партиями, в срок не позднее 60 (шестидесяти) календарных дней с даты заключения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99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3.2.</w:t>
        <w:tab/>
        <w:t xml:space="preserve"> Доставка Товара осуществляется за счет Поставщика до склада Грузополучателя по реквизитам указанным в Спецификации.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3.3.</w:t>
        <w:tab/>
        <w:t xml:space="preserve">Качество,  количество и ассортимент поставляемого по Договору Товара должны соответствовать требованиям Договора, а также Применимого права. Некачественный  Товар считается не поставленным.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Объем фактически поставленного Товара может отличаться от объема,  согласованного в Спецификации с учетом транзитных норм отгрузки бочкотары. Допускается отступление поставки Товара по количеству в пределах -/+ 5%. В этом случае Покупатель производит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оплату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фактически поставленного Товара, без оформления дополнительного соглашения 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.4.</w:t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Качество Товара должно соответствовать требованиям Технического регламента Таможенного Союза (ТР ТС 013/2011) «О требованиях к автомобильному и авиационному бензину, дизельному и судовому топливу, топливу для реактивных двигателей и мазуту», утвержденн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го Решением Комиссии Таможенного Союза от 18.10.2011 N 826», государственным стандартам (ГОСТ), техническим условиям (ТУ, СТО).Поставляемый Товар должен быть произведён не ранее 2026 г, пригодным для использования по своему назначению. Поставщик гарантируе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т, что Товар принадлежит ему на законном основании, в споре, залоге или под арестом не состоит, и не обременен правами третьих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3.5.</w:t>
        <w:tab/>
        <w:t xml:space="preserve">Одновременно с передачей Товара Поставщик обязан передать Покупателю оригиналы следующих относящихся к Товару документов: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numPr>
          <w:ilvl w:val="0"/>
          <w:numId w:val="19"/>
        </w:numPr>
        <w:ind w:right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паспорт качества на русском языке в __ (____) экз.;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numPr>
          <w:ilvl w:val="0"/>
          <w:numId w:val="19"/>
        </w:numPr>
        <w:ind w:right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упаковочный лист в __ (____) экз.;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numPr>
          <w:ilvl w:val="0"/>
          <w:numId w:val="21"/>
        </w:numPr>
        <w:ind w:right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иные документы (сертификат соответствия, .) в зависимости от номенклатуры поставляемого Товара;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850" w:leader="none"/>
          <w:tab w:val="left" w:pos="1276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ab/>
        <w:t xml:space="preserve">накладная ТОРГ-12/УПД в __ (____) экз.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случае отсутствия этих документов Покупатель вправе приостановить приемку Товара до момента их предоставления Поставщиком.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.6.</w:t>
        <w:tab/>
        <w:t xml:space="preserve">Товар должен отгружаться Поставщиком в таре и упаковке, обеспечивающей полную сохранность Товара от всякого рода повреждений и порчи, с учетом возможных перегрузок и длительного хранения. Поставщик обязан сообщить Покупателю условия длительного хранени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я поставленного Товара (допускается определение условий хранения в сопроводительных документах).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ара и упаковка Товара должны соответствовать требованиям Применимого права, предъявляемым к таре и упаковке соответствующего Товара. Упаковка Товара должна быть в заводской фасовке, за пломбой завода-изготовителя и обеспечивать ее сохранность при транспорт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ировке и хранении. Маркировка, упаковка и транспортировка Товара должна соответствовать требованиям ГОСТ 1510-22.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Стоимость тары и упаковки включена в стоимость Товара. Тара и упаковка возврату не подлежат.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3.7.</w:t>
        <w:tab/>
        <w:t xml:space="preserve">Погрузка, доставка и разгрузка Товара осуществляется Поставщиком. Стоимость погрузки, доставки и разгрузки Товара включена в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3.8.</w:t>
        <w:tab/>
        <w:t xml:space="preserve">Досрочная поставка Товара допускается только при условии получения Поставщиком письменного согласия Покупателя.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3.9.</w:t>
        <w:tab/>
        <w:t xml:space="preserve">Датой поставки Товара является дата подписания Сторонами Накладной ТОРГ-12/ или УПД, при наличии Акта входного контроля.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85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3.10.</w:t>
        <w:tab/>
        <w:t xml:space="preserve">Право собственности на Товар, а также риск его случайной гибели или случайного повреждения переходит от Поставщика к Покупателю с даты подписания Сторонами Накладной ТОРГ-12/ или УПД.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 Транспорт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(Перевозчика) должен прибыть под разгрузку в адрес Грузополучателя с 10 час. 00 мин. до 15 час. 00 мин. (время местное) в рабочие дни, в противном случае транспорт к разгрузке не допускается и расходы за его простой, Покупателем не возмещаются.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12</w:t>
      </w:r>
      <w:r>
        <w:rPr>
          <w:rFonts w:ascii="Times New Roman" w:hAnsi="Times New Roman" w:cs="Times New Roman"/>
          <w:sz w:val="24"/>
          <w:szCs w:val="24"/>
        </w:rPr>
        <w:t xml:space="preserve">. В случае поставки Товара, не обусловленного настоящим </w:t>
      </w: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оговором, либо поставки Товара по цене, превышающей согласованную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торонами, Пок</w:t>
      </w:r>
      <w:r>
        <w:rPr>
          <w:rFonts w:ascii="Times New Roman" w:hAnsi="Times New Roman" w:cs="Times New Roman"/>
          <w:sz w:val="24"/>
          <w:szCs w:val="24"/>
        </w:rPr>
        <w:t xml:space="preserve">упатель вправе отказаться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затраты, связанные с хранением, отправкой (продажей) Товара</w:t>
      </w:r>
      <w:r>
        <w:rPr>
          <w:rFonts w:ascii="Times New Roman" w:hAnsi="Times New Roman" w:cs="Times New Roman"/>
          <w:sz w:val="24"/>
          <w:szCs w:val="24"/>
        </w:rPr>
        <w:t xml:space="preserve">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992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3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.13.</w:t>
        <w:tab/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 поставляется российский Товар, при этом качество, технические и функциональные характеристики (потреби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4.</w:t>
        <w:tab/>
        <w:t xml:space="preserve">Порядок и условия приемки Товара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.1.</w:t>
        <w:tab/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Инструкцией Госарбитража при Совете Министров СССР от 25.04.1966 № П-7 в их последних редакциях, в час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ти не урегулированной Договором и не противоречащей действующему законодательству Российской Федерации.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Приемка и оценка качества Товара осуществляется в полном соответствии с обязательными требованиями, предъявляемыми к качеству поставляемого Товара. Поставляемый Товар должен соответствовать нормативным значениям показателей качества для свежего масла и бы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ть не восстановленном. Товар должен соответствовать техническому регламенту Таможенного союза ТР ТС - 030 - 2012 «О  требованиях к смазочным материалам, маслам и специальным жидкостям».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.2.</w:t>
        <w:tab/>
        <w:t xml:space="preserve">Покупатель обязан проверить количество и качество принятого Товара, проверить соответствие Товара сведениям, указанным в транспортных и сопроводительных документах, а также принять Товар от транспортной организации с соблюдением законов, правил и иных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правовых актов, регулирующих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4.3.</w:t>
        <w:tab/>
        <w:t xml:space="preserve">Приемка Товара производится 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.4.</w:t>
        <w:tab/>
        <w:t xml:space="preserve">В случае обнаружения внутри тары и упаковки недопоставки, недостатков, несоответствий Товара, Покупатель вправе приостановить приемку Товара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оставщик обязан своими силами и за свой счет устранить выявленные недостатки, несоответствия Товара, в том числе путем его замены на новый, в течение 10 (десяти) календарных дней со дня составления Сторонами двустороннего акта, если иной спо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соб и сроки не согласованы Сторонами. После устранения недостатков, несоответствий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.5.</w:t>
        <w:tab/>
        <w:t xml:space="preserve">В случае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еисполнения Поставщиком обязательств по устранению выявленных недостатков, несоответствий Товара в порядке, предусмотренном пунктом 4.4 Договора, Покупатель вправе отказаться от приемки Товара, направив соответствующее письменное уведомление Поставщику. Ув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домление о вызове представителя Поставщика должно быть направлено (передано) в порядке, предусмотренном пунктом 13.7 Договора не позднее 24 часов.. В случае неявки представителя Поставщика в срок, указанный в вызове Покупателя, Покупатель составляет Акт о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приемке Товара единолично.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.6.</w:t>
        <w:tab/>
        <w:t xml:space="preserve">Если Покупатель отказывается от переданного Поставщиком Товара, он обязан незамедлительно письменно уведомить Поставщика о выявленных несоответствиях или недостатках Товара и обеспечить сохранность Товара (ответственное хранение).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Вызов представителя Поставщика для участия в продолжении приемки Товара и составлении двустороннего акта обязателен.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.7.</w:t>
        <w:tab/>
        <w:t xml:space="preserve">Поставщик обязан вывезти Товар, принятый Покупателем (Грузополучателем) на ответственное хранение, или распорядиться им в течение 2 (двух) суток. Если Поставщик в этот срок не распорядится Товаром, Покупатель вправе реализовать его или возвратить Поста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щику. Расходы, понесенные Покупателем в связи с принятием Товара на ответственное хранение, его реализацией или возвратом Поставщику, подлежат возмещению Поставщиком. При этом вырученное от реализации Товара передается Поставщику за вычетом причитающегося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Покупателю.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.8.</w:t>
        <w:tab/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5.</w:t>
        <w:tab/>
        <w:t xml:space="preserve">Гарантийный срок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5.1.</w:t>
        <w:tab/>
        <w:t xml:space="preserve">Гарантийный срок на Товар, поставленный по Договору, составляет: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 менее 12 (двенадцати) календарных месяцев с даты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подписания Покупателем (грузополучателем) товарной накладной по форме ТОРГ-12 (или УПД)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если более длительный срок не предусмотрен технической документацией на Товар. Гарантийный срок может быть продлен в соответстви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 с условиями Договора.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.2.</w:t>
        <w:tab/>
        <w:t xml:space="preserve">В течение Гарантийного срока Поставщик гарантирует соответствие качества Товара требованиям Договора, паспорта и иных документов, относящихся к Товару, и Применимого права, возможность эксплуатации (использования) Товара в соответствии с 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 целевым назначением, а также несет безусловную ответственность за обнаруженные недостатки, несоответствия  Товара, если не докажет, что такие недостатки, несоответствия явились следствием несоблюдения Покупателем требований 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 использованию Товара, установленных в инструкциях и иных документах, переданных Покупателю в соответствии с пунктом 3.5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.3.</w:t>
        <w:tab/>
        <w:t xml:space="preserve">В случае обнаружения в течение Гарантийного срока недостатков, несоответствий Товара Покупатель направляет Поставщику соответствующее письменное уведомление, в котором указывает перечень выявленных недостатков Товара и разу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 Если к указанному в настоящем пункте сроку представитель Поставщика не прибудет, Акт о недостатках, несоответствиях будет составлен Покупателем в одностороннем порядке и будет признан Сторонами действительным.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.4.</w:t>
        <w:tab/>
        <w:t xml:space="preserve">Поставщик обязан своими силами и за свой счет устранить недостатки, несоответствия Товара, обнаруженные Покупателем в течение Гарантийного срока, в срок, указанный Покупателем в соответствии с пунктом 5.3 Договора, путем замены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Поставщик вправе по согласованию с Покупателем вместо замены Товара возвратить Покупателю его стоимость. Вывоз Товара для целей устранения нед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остатков осуществляется силами Поставщика и за его счет.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.5.</w:t>
        <w:tab/>
        <w:t xml:space="preserve">Если Поставщик не устранит недостатки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Покупателя на устранение недостатков, несоответствий  Товара в течение 10 (десяти) рабочих дней с даты получения соответствующего письменного требования Покупателя.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.6.</w:t>
        <w:tab/>
        <w:t xml:space="preserve">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недостатков. Гарантийный срок на замененную единицу Товара устанавл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ивается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.7.</w:t>
        <w:tab/>
        <w:t xml:space="preserve">Устранение недостатков, несоответствий Товара или возврат его стоимости, в том числе в рамках срока, установленного в соответствии с пунктом 5.3 Договора, не освобождает Поставщика от обязанности возмещения убытков, причиненных Покупат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елю вследствие наличия таких недостатков.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6.</w:t>
        <w:tab/>
        <w:t xml:space="preserve">Ответственность Сторон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.1.</w:t>
        <w:tab/>
        <w:t xml:space="preserve"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.2.</w:t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случае нарушения Покупателем сроков оплаты поставленного Товара,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  <w:t xml:space="preserve">6.3.</w:t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  <w:t xml:space="preserve">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white"/>
        </w:rPr>
        <w:t xml:space="preserve">Договора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white"/>
        </w:rPr>
        <w:t xml:space="preserve"> за каждый день просрочки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  <w:t xml:space="preserve">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  <w:t xml:space="preserve">        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6.4.</w:t>
        <w:tab/>
        <w:t xml:space="preserve">В случае поступления Товара, не соответствующего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Товара, не соответствующего сведениям.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.5.</w:t>
        <w:tab/>
        <w:t xml:space="preserve">Если в результате составления и выставления Поставщиком счетов-фактур/ или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анию 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 случае нарушения Поставщиком сроков предоставления счетов-фактур/ или УПД, установленных пунктом 2.7 Договора, Покупатель вправе требовать уплаты Поставщиком штрафа в размере 50 000 (Пятидесяти тысяч) рублей за каждый случай нарушения.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6.6.</w:t>
        <w:tab/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6.7.</w:t>
        <w:tab/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.8.</w:t>
        <w:tab/>
        <w:t xml:space="preserve"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бо ненадлежащего исполнения Поставщиком соответствующих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.9.</w:t>
        <w:tab/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.10.</w:t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60 (шестьдесят)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.11.</w:t>
        <w:tab/>
        <w:t xml:space="preserve">За непредставлен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ие либо несвоевременное предоставление / переоформление Поставщиком банковских / независимых гарантий, предусмотренных Договором, в соответствии с Приложениями № 2, 2.1, 2.2 к настоящему Договору, Покупатель  вправе потребовать уплаты Поставщиком неустойки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 размере 0,03 (ноль целых и три сотых) процента от цены Договора за каждый день просрочки.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7.</w:t>
        <w:tab/>
        <w:t xml:space="preserve">Антикоррупционная оговорка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.1.</w:t>
        <w:tab/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предлагали и не разрешали выплату денежных средств,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.2.</w:t>
        <w:tab/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.3.</w:t>
        <w:tab/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.4.</w:t>
        <w:tab/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ждение должно быть направлено другой Стороной в течение 5 (пяти) рабочих дней с даты получения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.5.</w:t>
        <w:tab/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.6.</w:t>
        <w:tab/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отказаться от Договора в одностороннем 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7.7.</w:t>
        <w:tab/>
        <w:t xml:space="preserve">Каналы связи Линия доверия Группы РусГидро: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7.7.1.</w:t>
        <w:tab/>
        <w:t xml:space="preserve">Электронная почта: ld@rushydro.ru;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7.7.2.</w:t>
        <w:tab/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7.7.3.</w:t>
        <w:tab/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8.</w:t>
        <w:tab/>
        <w:t xml:space="preserve">Обстоятельства непреодолимой силы (форс-мажор)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.1.</w:t>
        <w:tab/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8.2.</w:t>
        <w:tab/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.3.</w:t>
        <w:tab/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.4.</w:t>
        <w:tab/>
        <w:t xml:space="preserve">Надлежащим (достаточным) доказательством наличия/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рона ссылается в качестве обстоятельств непреодолимой силы (форс-мажора).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.5.</w:t>
        <w:tab/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ение обязательств по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.6.</w:t>
        <w:tab/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9.</w:t>
        <w:tab/>
        <w:t xml:space="preserve">Особые положения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.1.</w:t>
        <w:tab/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2.10.2006 № 53 «Об оценке арбитражными судами обоснованности получения налогоплательщиком налоговой выгоды», постановлениями Президиума ВАС РФ от 20.04.2010 № 18162/09 и от 25.05.2010 № 15658/09, согласно которым при оценке необоснованной налоговой выгоды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ствующие Критериям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.2.</w:t>
        <w:tab/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9.1 Договора, а также обеспечить прекращение участия таких организаций в исполне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.3.</w:t>
        <w:tab/>
        <w:t xml:space="preserve">В случае нарушения Поставщиком обязательств, установленных пунктами 9.1, 9.2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казе от Договора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ной в уведомлении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.4.</w:t>
        <w:tab/>
        <w:t xml:space="preserve">Поставщик обязан уплатить Покупателю штраф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тановленных пунктами 9.1, 9.2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.5.</w:t>
        <w:tab/>
        <w:t xml:space="preserve">Штраф, предусмотренный пунктом 9.4 Договора, оплачивается Поставщиком в течение 10 (десяти) рабочих дней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правления уведомления об отказе от Договора (исполнения Договора), предусмотренного пунктом 9.3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.6.</w:t>
        <w:tab/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предусмотренного пунктом 9.4 Договора. При этом Покуп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атель не будет считаться просрочившим и/ или нарушившим свои обязательства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9.7.</w:t>
        <w:tab/>
        <w:t xml:space="preserve">Независимо от других положений Договора, положения пунктов 9.4, 9.5 Договора продолжают действовать в течение 4 (четырех) лет после его прекращения (расторжения) или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10.</w:t>
        <w:tab/>
        <w:t xml:space="preserve">Заверения Сторон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10.1.</w:t>
        <w:tab/>
        <w:t xml:space="preserve">Каждая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она является юридическим лицом/ индивидуальным предпринимателем,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она получила все корпоративные одобрения Договора органами управления 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и иных лиц, необходимые дл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10.2.</w:t>
        <w:tab/>
        <w:t xml:space="preserve">Поставщик заявляет и заверяет Покупателя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учредителем/ учредителями Поставщика являются лица, не являющиеся массовыми учредителем/ учредителями;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руководителем Поставщика является лицо, не являющееся массовым руководителем;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Поставщик фактически находится по адресу, указанному в Едином государственном реестре юридических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Поставщик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Поставщик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Поставщик тщательно изучил всю информацию, связанную с Договором, в том числе по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Поставщик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вся информация, предоставленная Покупателю, является достоверной, полной и точной, и Поставщик не скрыл никаких обстоятельств, которые при их обнаружении могли бы негативно повлиять на решение Покупателя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10.3.</w:t>
        <w:tab/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0.4.</w:t>
        <w:tab/>
        <w:t xml:space="preserve">В случае, если Поставщик 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Поставщик обязан по пи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0.5.</w:t>
        <w:tab/>
        <w:t xml:space="preserve">Недостоверность,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11.</w:t>
        <w:tab/>
        <w:t xml:space="preserve">Прекращение (расторжение) Договора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1.1.</w:t>
        <w:tab/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13.7 Договора, с приложением подписанного согла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шения о расторжении Договора. Уведомление должно быть рассмотрено Стороной–получателем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1.2.</w:t>
        <w:tab/>
        <w:t xml:space="preserve">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(тридцать) календарных дней до предполагаемой даты расторжения Договора.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11.3.</w:t>
        <w:tab/>
        <w:t xml:space="preserve">В случае существенного нарушения Договора Поставщиком Покупатель вправе в одностороннем внесудебном порядке отказаться от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Стороны установили, что существенным нарушением Договора Поставщиком является: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нарушение Поставщиком общего срока поставки Товара по Договору, а также  сроков поставки Товара (партий Товара), более чем на 60 (шестьдесят) календарных дней по причинам, не зависящим от Покупателя;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несоблюдение Поставщиком требований к качеству Товара, если исправление выявленных Покупателем недостатков Товара влечет нарушение сроков поставки Товара более чем на 60 (шестьдесят) календарных дней, либо такие недостатки являются не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устранимыми;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  <w:tab/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установление в ходе исполнения Договора фактов несоответствия Поставщика установленным 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неточности или неполноты заверений Поставщика об обстоятельствах, указанных в разделе 10 Договора, и имеющих существенное значение для его заключения и исполнения.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1.4.</w:t>
        <w:tab/>
        <w:t xml:space="preserve">В случае отказа Покупателя от Договора в случаях, предусмотренных пунктами 11.2, 11.3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11.5.</w:t>
        <w:tab/>
        <w:t xml:space="preserve">С даты прекращения (расторжения) Договора Поставщик обязан прекратить поставку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1.6.</w:t>
        <w:tab/>
        <w:t xml:space="preserve">При прекращении (расторжении) Договора по основаниям, указанным в настоящем разделе Договора, все обязательства Сторон по Договору считаются прекратившимися, за исключением обязательств по незавершенным расчетам, гарантийным обязательствам Поставщика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 соответствии с разделом 5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12.</w:t>
        <w:tab/>
        <w:t xml:space="preserve">Разрешение споров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12.1.</w:t>
        <w:tab/>
        <w:t xml:space="preserve">Все споры, разногласия и требования, возникающие между Сторонами 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12.2.</w:t>
        <w:tab/>
        <w:t xml:space="preserve">Споры, указанные в пункте 12.1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2.3.</w:t>
        <w:tab/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предусмотренном пунктом 13.7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12.4.</w:t>
        <w:tab/>
        <w:t xml:space="preserve">Срок для рассмотрения претензии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12.5.</w:t>
        <w:tab/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13.</w:t>
        <w:tab/>
        <w:t xml:space="preserve">Заключительные положения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13.1.</w:t>
        <w:tab/>
        <w:t xml:space="preserve">Договор вступает в силу с даты его подписания Сторонами и действует по __________________, а в части не исполненных обязательств - до полного их исполнения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3.2.</w:t>
        <w:tab/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ктом 13.6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13.3.</w:t>
        <w:tab/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13.4.</w:t>
        <w:tab/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3.5.</w:t>
        <w:tab/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13.7 Договора. Использование средств факсимильной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13.6.</w:t>
        <w:tab/>
        <w:t xml:space="preserve">Стороны обязуются уведомлять друг друга об изменении адреса и/ или реквизитов, указанных в разделе 15 Договора, не позднее 3 (трех) рабочих дней после такого изменения в порядке, установленном пунктом 13.7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13.7.</w:t>
        <w:tab/>
        <w:t xml:space="preserve">Письма, уведомления и/ или сообщения направляются Стороне-получателю следующими способами: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3.7.1.</w:t>
        <w:tab/>
        <w:t xml:space="preserve">Заказным почтовым отправлением с уведомлением о вручении по адресу ее места нахождения/ почтовому адресу, указанному в разделе 15 Договора, или в ранее полученном уведомлении Стороны об изменении адреса – в дату фактического вручения почтового отпра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3.7.2.</w:t>
        <w:tab/>
        <w:t xml:space="preserve">Доставкой лично или курьером Стороны-отправителя по адресу ее места нахождения/ почтовому адресу, указанному в разделе 15 Договора, или в ранее полученном уведомлении Стороны об изменении адреса – в дату и время фактического приема уведомления Сторо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ной-получателем с отметкой о получении;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13.7.3.</w:t>
        <w:tab/>
        <w:t xml:space="preserve">Посредством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13.7.1 – 13.7.2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3.8.</w:t>
        <w:tab/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возможности реализовать это право в будущем.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13.9.</w:t>
        <w:tab/>
        <w:t xml:space="preserve">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3.10.</w:t>
        <w:tab/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//www.diadoc.ru/).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13.11.</w:t>
        <w:tab/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13.12.</w:t>
        <w:tab/>
      </w:r>
      <w:r>
        <w:rPr>
          <w:rFonts w:ascii="Times New Roman" w:hAnsi="Times New Roman" w:cs="Times New Roman"/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(далее – УКЭП) 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уполномоченных представителей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14.</w:t>
        <w:tab/>
        <w:t xml:space="preserve">Список приложений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right="0" w:firstLine="567"/>
        <w:jc w:val="center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1 – Спецификация;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2 -  Условия 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езависимой гарантии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2.1 -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Независимая гарантия (типовая форма)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2"/>
        <w:ind w:left="0" w:righ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2.2 –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Требования по уплате денежных средств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3 - Форма акта приемки независимой  гарантии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ind w:left="0" w:righ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83"/>
        <w:ind w:left="0" w:right="0"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77"/>
              <w:ind w:left="0" w:right="0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83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83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77"/>
              <w:ind w:left="0" w:right="0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83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35"/>
        </w:trPr>
        <w:tc>
          <w:tcPr>
            <w:tcW w:w="4753" w:type="dxa"/>
            <w:textDirection w:val="lrTb"/>
            <w:noWrap w:val="false"/>
          </w:tcPr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Сбербанка РФ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8(4212)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26-41-59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E-mail: 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@dgk.ru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83"/>
              <w:ind w:left="0"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ind w:left="0"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83"/>
              <w:ind w:left="0"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83"/>
              <w:ind w:left="0" w:righ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3"/>
        <w:ind w:left="0" w:righ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first" r:id="rId9"/>
      <w:footnotePr/>
      <w:endnotePr/>
      <w:type w:val="nextPage"/>
      <w:pgSz w:w="11907" w:h="16840" w:orient="portrait"/>
      <w:pgMar w:top="571" w:right="851" w:bottom="537" w:left="1418" w:header="426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97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98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color w:val="000000" w:themeColor="text1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color w:val="000000" w:themeColor="text1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2"/>
      <w:numFmt w:val="none"/>
      <w:isLgl w:val="false"/>
      <w:suff w:val="tab"/>
      <w:lvlText w:val="2.10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Heading 1 Char"/>
    <w:basedOn w:val="878"/>
    <w:link w:val="877"/>
    <w:uiPriority w:val="9"/>
    <w:rPr>
      <w:rFonts w:ascii="Arial" w:hAnsi="Arial" w:eastAsia="Arial" w:cs="Arial"/>
      <w:sz w:val="40"/>
      <w:szCs w:val="40"/>
    </w:rPr>
  </w:style>
  <w:style w:type="paragraph" w:styleId="708">
    <w:name w:val="Heading 2"/>
    <w:basedOn w:val="876"/>
    <w:next w:val="876"/>
    <w:link w:val="7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9">
    <w:name w:val="Heading 2 Char"/>
    <w:basedOn w:val="878"/>
    <w:link w:val="708"/>
    <w:uiPriority w:val="9"/>
    <w:rPr>
      <w:rFonts w:ascii="Arial" w:hAnsi="Arial" w:eastAsia="Arial" w:cs="Arial"/>
      <w:sz w:val="34"/>
    </w:rPr>
  </w:style>
  <w:style w:type="paragraph" w:styleId="710">
    <w:name w:val="Heading 3"/>
    <w:basedOn w:val="876"/>
    <w:next w:val="876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1">
    <w:name w:val="Heading 3 Char"/>
    <w:basedOn w:val="878"/>
    <w:link w:val="710"/>
    <w:uiPriority w:val="9"/>
    <w:rPr>
      <w:rFonts w:ascii="Arial" w:hAnsi="Arial" w:eastAsia="Arial" w:cs="Arial"/>
      <w:sz w:val="30"/>
      <w:szCs w:val="30"/>
    </w:rPr>
  </w:style>
  <w:style w:type="paragraph" w:styleId="712">
    <w:name w:val="Heading 4"/>
    <w:basedOn w:val="876"/>
    <w:next w:val="876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3">
    <w:name w:val="Heading 4 Char"/>
    <w:basedOn w:val="878"/>
    <w:link w:val="712"/>
    <w:uiPriority w:val="9"/>
    <w:rPr>
      <w:rFonts w:ascii="Arial" w:hAnsi="Arial" w:eastAsia="Arial" w:cs="Arial"/>
      <w:b/>
      <w:bCs/>
      <w:sz w:val="26"/>
      <w:szCs w:val="26"/>
    </w:rPr>
  </w:style>
  <w:style w:type="paragraph" w:styleId="714">
    <w:name w:val="Heading 5"/>
    <w:basedOn w:val="876"/>
    <w:next w:val="876"/>
    <w:link w:val="7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5">
    <w:name w:val="Heading 5 Char"/>
    <w:basedOn w:val="878"/>
    <w:link w:val="714"/>
    <w:uiPriority w:val="9"/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876"/>
    <w:next w:val="876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7">
    <w:name w:val="Heading 6 Char"/>
    <w:basedOn w:val="878"/>
    <w:link w:val="716"/>
    <w:uiPriority w:val="9"/>
    <w:rPr>
      <w:rFonts w:ascii="Arial" w:hAnsi="Arial" w:eastAsia="Arial" w:cs="Arial"/>
      <w:b/>
      <w:bCs/>
      <w:sz w:val="22"/>
      <w:szCs w:val="22"/>
    </w:rPr>
  </w:style>
  <w:style w:type="paragraph" w:styleId="718">
    <w:name w:val="Heading 7"/>
    <w:basedOn w:val="876"/>
    <w:next w:val="876"/>
    <w:link w:val="7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9">
    <w:name w:val="Heading 7 Char"/>
    <w:basedOn w:val="878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876"/>
    <w:next w:val="876"/>
    <w:link w:val="7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1">
    <w:name w:val="Heading 8 Char"/>
    <w:basedOn w:val="878"/>
    <w:link w:val="720"/>
    <w:uiPriority w:val="9"/>
    <w:rPr>
      <w:rFonts w:ascii="Arial" w:hAnsi="Arial" w:eastAsia="Arial" w:cs="Arial"/>
      <w:i/>
      <w:iCs/>
      <w:sz w:val="22"/>
      <w:szCs w:val="22"/>
    </w:rPr>
  </w:style>
  <w:style w:type="paragraph" w:styleId="722">
    <w:name w:val="Heading 9"/>
    <w:basedOn w:val="876"/>
    <w:next w:val="876"/>
    <w:link w:val="7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>
    <w:name w:val="Heading 9 Char"/>
    <w:basedOn w:val="878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24">
    <w:name w:val="Title"/>
    <w:basedOn w:val="876"/>
    <w:next w:val="876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basedOn w:val="878"/>
    <w:link w:val="724"/>
    <w:uiPriority w:val="10"/>
    <w:rPr>
      <w:sz w:val="48"/>
      <w:szCs w:val="48"/>
    </w:rPr>
  </w:style>
  <w:style w:type="paragraph" w:styleId="726">
    <w:name w:val="Subtitle"/>
    <w:basedOn w:val="876"/>
    <w:next w:val="876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basedOn w:val="878"/>
    <w:link w:val="726"/>
    <w:uiPriority w:val="11"/>
    <w:rPr>
      <w:sz w:val="24"/>
      <w:szCs w:val="24"/>
    </w:rPr>
  </w:style>
  <w:style w:type="paragraph" w:styleId="728">
    <w:name w:val="Quote"/>
    <w:basedOn w:val="876"/>
    <w:next w:val="876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76"/>
    <w:next w:val="876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character" w:styleId="732">
    <w:name w:val="Header Char"/>
    <w:basedOn w:val="878"/>
    <w:link w:val="893"/>
    <w:uiPriority w:val="99"/>
  </w:style>
  <w:style w:type="character" w:styleId="733">
    <w:name w:val="Footer Char"/>
    <w:basedOn w:val="878"/>
    <w:link w:val="891"/>
    <w:uiPriority w:val="99"/>
  </w:style>
  <w:style w:type="paragraph" w:styleId="734">
    <w:name w:val="Caption"/>
    <w:basedOn w:val="876"/>
    <w:next w:val="876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>
    <w:name w:val="Caption Char"/>
    <w:basedOn w:val="734"/>
    <w:link w:val="891"/>
    <w:uiPriority w:val="99"/>
  </w:style>
  <w:style w:type="table" w:styleId="736">
    <w:name w:val="Table Grid Light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5">
    <w:name w:val="List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6">
    <w:name w:val="List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7">
    <w:name w:val="List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8">
    <w:name w:val="List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9">
    <w:name w:val="List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0">
    <w:name w:val="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2">
    <w:name w:val="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6">
    <w:name w:val="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 &amp; 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9">
    <w:name w:val="Bordered &amp; 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0">
    <w:name w:val="Bordered &amp; 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1">
    <w:name w:val="Bordered &amp; 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2">
    <w:name w:val="Bordered &amp; 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3">
    <w:name w:val="Bordered &amp; 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4">
    <w:name w:val="Bordered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Footnote Text Char"/>
    <w:link w:val="887"/>
    <w:uiPriority w:val="99"/>
    <w:rPr>
      <w:sz w:val="18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basedOn w:val="878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  <w:rPr>
      <w:sz w:val="24"/>
    </w:rPr>
  </w:style>
  <w:style w:type="paragraph" w:styleId="877">
    <w:name w:val="Heading 1"/>
    <w:basedOn w:val="876"/>
    <w:next w:val="876"/>
    <w:link w:val="904"/>
    <w:uiPriority w:val="9"/>
    <w:qFormat/>
    <w:pPr>
      <w:jc w:val="center"/>
      <w:keepNext/>
      <w:outlineLvl w:val="0"/>
    </w:pPr>
    <w:rPr>
      <w:b/>
      <w:szCs w:val="24"/>
    </w:rPr>
  </w:style>
  <w:style w:type="character" w:styleId="878" w:default="1">
    <w:name w:val="Default Paragraph Font"/>
    <w:uiPriority w:val="1"/>
    <w:semiHidden/>
    <w:unhideWhenUsed/>
  </w:style>
  <w:style w:type="table" w:styleId="8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0" w:default="1">
    <w:name w:val="No List"/>
    <w:uiPriority w:val="99"/>
    <w:semiHidden/>
    <w:unhideWhenUsed/>
  </w:style>
  <w:style w:type="paragraph" w:styleId="881" w:customStyle="1">
    <w:name w:val="ConsTitle"/>
    <w:rPr>
      <w:rFonts w:ascii="Arial" w:hAnsi="Arial" w:cs="Arial"/>
      <w:b/>
      <w:bCs/>
      <w:sz w:val="16"/>
      <w:szCs w:val="16"/>
    </w:rPr>
  </w:style>
  <w:style w:type="paragraph" w:styleId="882" w:customStyle="1">
    <w:name w:val="ConsNonformat"/>
    <w:rPr>
      <w:rFonts w:ascii="Courier New" w:hAnsi="Courier New" w:cs="Courier New"/>
    </w:rPr>
  </w:style>
  <w:style w:type="paragraph" w:styleId="883" w:customStyle="1">
    <w:name w:val="ConsNormal"/>
    <w:link w:val="895"/>
    <w:pPr>
      <w:ind w:firstLine="720"/>
    </w:pPr>
    <w:rPr>
      <w:rFonts w:ascii="Arial" w:hAnsi="Arial" w:cs="Arial"/>
      <w:sz w:val="24"/>
      <w:szCs w:val="24"/>
    </w:rPr>
  </w:style>
  <w:style w:type="paragraph" w:styleId="884" w:customStyle="1">
    <w:name w:val="ConsCell"/>
    <w:rPr>
      <w:rFonts w:ascii="Arial" w:hAnsi="Arial" w:cs="Arial"/>
      <w:sz w:val="24"/>
      <w:szCs w:val="24"/>
    </w:rPr>
  </w:style>
  <w:style w:type="paragraph" w:styleId="885">
    <w:name w:val="Body Text Indent"/>
    <w:basedOn w:val="876"/>
    <w:semiHidden/>
    <w:pPr>
      <w:ind w:firstLine="720"/>
      <w:jc w:val="both"/>
    </w:pPr>
    <w:rPr>
      <w:sz w:val="28"/>
    </w:rPr>
  </w:style>
  <w:style w:type="paragraph" w:styleId="886">
    <w:name w:val="Body Text"/>
    <w:basedOn w:val="876"/>
    <w:semiHidden/>
    <w:pPr>
      <w:jc w:val="both"/>
    </w:pPr>
    <w:rPr>
      <w:szCs w:val="24"/>
    </w:rPr>
  </w:style>
  <w:style w:type="paragraph" w:styleId="887">
    <w:name w:val="footnote text"/>
    <w:basedOn w:val="876"/>
    <w:link w:val="899"/>
    <w:uiPriority w:val="99"/>
    <w:rPr>
      <w:sz w:val="20"/>
    </w:rPr>
  </w:style>
  <w:style w:type="character" w:styleId="888">
    <w:name w:val="footnote reference"/>
    <w:semiHidden/>
    <w:rPr>
      <w:vertAlign w:val="superscript"/>
    </w:rPr>
  </w:style>
  <w:style w:type="character" w:styleId="889">
    <w:name w:val="annotation reference"/>
    <w:semiHidden/>
    <w:rPr>
      <w:sz w:val="16"/>
      <w:szCs w:val="16"/>
    </w:rPr>
  </w:style>
  <w:style w:type="paragraph" w:styleId="890">
    <w:name w:val="annotation text"/>
    <w:basedOn w:val="876"/>
    <w:semiHidden/>
    <w:rPr>
      <w:sz w:val="20"/>
    </w:rPr>
  </w:style>
  <w:style w:type="paragraph" w:styleId="891">
    <w:name w:val="Footer"/>
    <w:basedOn w:val="876"/>
    <w:link w:val="903"/>
    <w:uiPriority w:val="99"/>
    <w:pPr>
      <w:tabs>
        <w:tab w:val="center" w:pos="4677" w:leader="none"/>
        <w:tab w:val="right" w:pos="9355" w:leader="none"/>
      </w:tabs>
    </w:pPr>
  </w:style>
  <w:style w:type="character" w:styleId="892">
    <w:name w:val="page number"/>
    <w:basedOn w:val="878"/>
    <w:semiHidden/>
  </w:style>
  <w:style w:type="paragraph" w:styleId="893">
    <w:name w:val="Header"/>
    <w:basedOn w:val="876"/>
    <w:semiHidden/>
    <w:pPr>
      <w:tabs>
        <w:tab w:val="center" w:pos="4677" w:leader="none"/>
        <w:tab w:val="right" w:pos="9355" w:leader="none"/>
      </w:tabs>
    </w:pPr>
  </w:style>
  <w:style w:type="paragraph" w:styleId="894">
    <w:name w:val="Balloon Text"/>
    <w:basedOn w:val="876"/>
    <w:semiHidden/>
    <w:rPr>
      <w:rFonts w:ascii="Tahoma" w:hAnsi="Tahoma" w:cs="Tahoma"/>
      <w:sz w:val="16"/>
      <w:szCs w:val="16"/>
    </w:rPr>
  </w:style>
  <w:style w:type="character" w:styleId="895" w:customStyle="1">
    <w:name w:val="ConsNormal Знак"/>
    <w:link w:val="883"/>
    <w:rPr>
      <w:rFonts w:ascii="Arial" w:hAnsi="Arial" w:cs="Arial"/>
      <w:sz w:val="24"/>
      <w:szCs w:val="24"/>
    </w:rPr>
  </w:style>
  <w:style w:type="paragraph" w:styleId="896">
    <w:name w:val="Normal (Web)"/>
    <w:basedOn w:val="876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97" w:customStyle="1">
    <w:name w:val="Пункт_1"/>
    <w:basedOn w:val="876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98" w:customStyle="1">
    <w:name w:val="Пункт_2"/>
    <w:basedOn w:val="876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99" w:customStyle="1">
    <w:name w:val="Текст сноски Знак"/>
    <w:link w:val="887"/>
    <w:uiPriority w:val="99"/>
  </w:style>
  <w:style w:type="paragraph" w:styleId="900" w:customStyle="1">
    <w:name w:val="Таблица текст"/>
    <w:basedOn w:val="876"/>
    <w:pPr>
      <w:ind w:left="57" w:right="57"/>
      <w:spacing w:before="40" w:after="40"/>
    </w:pPr>
  </w:style>
  <w:style w:type="paragraph" w:styleId="90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902">
    <w:name w:val="Table Grid"/>
    <w:basedOn w:val="879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03" w:customStyle="1">
    <w:name w:val="Нижний колонтитул Знак"/>
    <w:link w:val="891"/>
    <w:uiPriority w:val="99"/>
    <w:rPr>
      <w:sz w:val="24"/>
    </w:rPr>
  </w:style>
  <w:style w:type="character" w:styleId="904" w:customStyle="1">
    <w:name w:val="Заголовок 1 Знак"/>
    <w:basedOn w:val="878"/>
    <w:link w:val="877"/>
    <w:uiPriority w:val="9"/>
    <w:rPr>
      <w:b/>
      <w:sz w:val="24"/>
      <w:szCs w:val="24"/>
    </w:rPr>
  </w:style>
  <w:style w:type="paragraph" w:styleId="905" w:customStyle="1">
    <w:name w:val="Default"/>
    <w:rPr>
      <w:color w:val="000000"/>
      <w:sz w:val="24"/>
      <w:szCs w:val="24"/>
    </w:rPr>
  </w:style>
  <w:style w:type="paragraph" w:styleId="906">
    <w:name w:val="List Paragraph"/>
    <w:basedOn w:val="876"/>
    <w:uiPriority w:val="34"/>
    <w:qFormat/>
    <w:pPr>
      <w:contextualSpacing/>
      <w:ind w:left="720"/>
    </w:pPr>
  </w:style>
  <w:style w:type="paragraph" w:styleId="907" w:customStyle="1">
    <w:name w:val="Знак Знак Знак2 Знак1"/>
    <w:basedOn w:val="87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908">
    <w:name w:val="Hyperlink"/>
    <w:rPr>
      <w:color w:val="0066cc"/>
      <w:u w:val="single"/>
    </w:rPr>
  </w:style>
  <w:style w:type="character" w:styleId="909" w:customStyle="1">
    <w:name w:val="Сноска (2)_"/>
    <w:link w:val="910"/>
    <w:rPr>
      <w:shd w:val="clear" w:color="auto" w:fill="ffffff"/>
    </w:rPr>
  </w:style>
  <w:style w:type="paragraph" w:styleId="910" w:customStyle="1">
    <w:name w:val="Сноска (2)"/>
    <w:basedOn w:val="876"/>
    <w:link w:val="909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6C8CD-DAF4-4DC9-BDCA-6E8E4E0D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solodovnikova_ev@DGK.RU</cp:lastModifiedBy>
  <cp:revision>101</cp:revision>
  <dcterms:created xsi:type="dcterms:W3CDTF">2021-06-24T23:18:00Z</dcterms:created>
  <dcterms:modified xsi:type="dcterms:W3CDTF">2026-06-19T04:15:27Z</dcterms:modified>
</cp:coreProperties>
</file>